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DB" w:rsidRPr="009C4726" w:rsidRDefault="00A07ADB" w:rsidP="00A07ADB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A07ADB" w:rsidRPr="009C4726" w:rsidRDefault="00A07ADB" w:rsidP="00A07ADB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A07ADB" w:rsidRPr="009C4726" w:rsidRDefault="00A07ADB" w:rsidP="00A07ADB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A07ADB" w:rsidRPr="009C4726" w:rsidRDefault="00A07ADB" w:rsidP="00A07ADB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>о</w:t>
      </w:r>
      <w:r w:rsidRPr="009C4726">
        <w:rPr>
          <w:b/>
        </w:rPr>
        <w:t xml:space="preserve"> </w:t>
      </w:r>
      <w:r>
        <w:rPr>
          <w:b/>
          <w:lang w:val="en-US"/>
        </w:rPr>
        <w:t>II</w:t>
      </w:r>
      <w:r w:rsidRPr="009C4726">
        <w:rPr>
          <w:b/>
        </w:rPr>
        <w:t xml:space="preserve"> квартале 20</w:t>
      </w:r>
      <w:r>
        <w:rPr>
          <w:b/>
        </w:rPr>
        <w:t xml:space="preserve">19 </w:t>
      </w:r>
      <w:r w:rsidRPr="009C4726">
        <w:rPr>
          <w:b/>
        </w:rPr>
        <w:t>года</w:t>
      </w:r>
    </w:p>
    <w:p w:rsidR="009C4726" w:rsidRDefault="009C4726" w:rsidP="009C4726">
      <w:pPr>
        <w:ind w:firstLine="0"/>
        <w:jc w:val="center"/>
      </w:pPr>
    </w:p>
    <w:p w:rsidR="008D2B20" w:rsidRDefault="008D2B20" w:rsidP="008D2B20">
      <w:r>
        <w:t xml:space="preserve">В Территориальный орган Федеральной службы государственной статистики по Забайкальскому краю во </w:t>
      </w:r>
      <w:r>
        <w:rPr>
          <w:lang w:val="en-US"/>
        </w:rPr>
        <w:t>II</w:t>
      </w:r>
      <w:r>
        <w:t xml:space="preserve"> квартале 20</w:t>
      </w:r>
      <w:r w:rsidRPr="003147B9">
        <w:t>1</w:t>
      </w:r>
      <w:r>
        <w:t>9 года поступило 1</w:t>
      </w:r>
      <w:r w:rsidR="007A7F19">
        <w:t>4</w:t>
      </w:r>
      <w:r>
        <w:t xml:space="preserve"> обращени</w:t>
      </w:r>
      <w:r w:rsidR="007A7F19">
        <w:t>й</w:t>
      </w:r>
      <w:r>
        <w:t xml:space="preserve"> граждан, организаций и общественных объединений (далее - обращения граждан) (1 месяц квартала - </w:t>
      </w:r>
      <w:r w:rsidR="007A7F19">
        <w:t>5</w:t>
      </w:r>
      <w:r>
        <w:t xml:space="preserve">, 2 месяц квартала - </w:t>
      </w:r>
      <w:r w:rsidR="007A7F19">
        <w:t>4</w:t>
      </w:r>
      <w:r>
        <w:t>, 3 месяц квартала -</w:t>
      </w:r>
      <w:r w:rsidRPr="00EE155B">
        <w:t xml:space="preserve"> </w:t>
      </w:r>
      <w:r w:rsidR="007A7F19">
        <w:t>5</w:t>
      </w:r>
      <w:r>
        <w:t xml:space="preserve">), что на </w:t>
      </w:r>
      <w:r w:rsidRPr="00A20AB3">
        <w:t>5</w:t>
      </w:r>
      <w:r w:rsidR="007A7F19">
        <w:t>0</w:t>
      </w:r>
      <w:r>
        <w:t xml:space="preserve">% больше, чем в </w:t>
      </w:r>
      <w:r>
        <w:rPr>
          <w:lang w:val="en-US"/>
        </w:rPr>
        <w:t>I</w:t>
      </w:r>
      <w:r>
        <w:t xml:space="preserve"> квартале 201</w:t>
      </w:r>
      <w:r w:rsidR="007A7F19">
        <w:t>9</w:t>
      </w:r>
      <w:r>
        <w:t xml:space="preserve">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593E20">
        <w:t>14</w:t>
      </w:r>
      <w:r>
        <w:t xml:space="preserve"> (</w:t>
      </w:r>
      <w:r w:rsidR="00593E20">
        <w:t>100</w:t>
      </w:r>
      <w:r>
        <w:t>%)</w:t>
      </w:r>
      <w:r>
        <w:rPr>
          <w:rStyle w:val="a7"/>
        </w:rPr>
        <w:footnoteReference w:id="1"/>
      </w:r>
      <w:r w:rsidR="00593E20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</w:t>
      </w:r>
      <w:r w:rsidR="00E65F35">
        <w:t xml:space="preserve">Государственной инспекции Забайкальского края </w:t>
      </w:r>
      <w:r w:rsidR="00C11F8E">
        <w:t>–</w:t>
      </w:r>
      <w:r w:rsidR="00E65F35">
        <w:t xml:space="preserve"> 1</w:t>
      </w:r>
      <w:r w:rsidR="00C11F8E">
        <w:t xml:space="preserve"> </w:t>
      </w:r>
      <w:r w:rsidR="003C2A9F">
        <w:t>(</w:t>
      </w:r>
      <w:r w:rsidR="00E65F35">
        <w:t xml:space="preserve">7,1 </w:t>
      </w:r>
      <w:r w:rsidR="003C2A9F">
        <w:t>%)</w:t>
      </w:r>
      <w:r w:rsidR="00E65F35">
        <w:t>.</w:t>
      </w:r>
      <w:r>
        <w:t xml:space="preserve"> </w:t>
      </w:r>
    </w:p>
    <w:p w:rsidR="00BF2461" w:rsidRDefault="00BF2461" w:rsidP="009C4726">
      <w:r>
        <w:t>2. По типу доставки:</w:t>
      </w:r>
    </w:p>
    <w:p w:rsidR="005D5D40" w:rsidRDefault="005D5D40" w:rsidP="005D5D40">
      <w:r>
        <w:t xml:space="preserve">Почтой России - </w:t>
      </w:r>
      <w:r w:rsidR="00737A91">
        <w:t>5</w:t>
      </w:r>
      <w:r>
        <w:t xml:space="preserve"> (</w:t>
      </w:r>
      <w:r w:rsidR="00737A91">
        <w:t>35</w:t>
      </w:r>
      <w:r>
        <w:t>,</w:t>
      </w:r>
      <w:r w:rsidR="00737A91">
        <w:t>7</w:t>
      </w:r>
      <w:bookmarkStart w:id="0" w:name="_GoBack"/>
      <w:bookmarkEnd w:id="0"/>
      <w:r>
        <w:t>%);</w:t>
      </w:r>
    </w:p>
    <w:p w:rsidR="005D5D40" w:rsidRDefault="005D5D40" w:rsidP="005D5D40">
      <w:r>
        <w:t>по сети Интернет (электронной почтой) - 4 (28,6%);</w:t>
      </w:r>
    </w:p>
    <w:p w:rsidR="005D5D40" w:rsidRDefault="005D5D40" w:rsidP="005D5D40">
      <w:r>
        <w:t>личное обращение - 5 (35,7%).</w:t>
      </w:r>
    </w:p>
    <w:p w:rsidR="00BB1217" w:rsidRDefault="00BB1217" w:rsidP="00BB1217">
      <w:r>
        <w:t>Анализ поступления</w:t>
      </w:r>
      <w:r w:rsidRPr="00EC75EA">
        <w:t xml:space="preserve"> </w:t>
      </w:r>
      <w:r>
        <w:t>в</w:t>
      </w:r>
      <w:r w:rsidR="00131A0A">
        <w:t>о</w:t>
      </w:r>
      <w:r>
        <w:t xml:space="preserve"> </w:t>
      </w:r>
      <w:r w:rsidR="00131A0A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2019 года обращений граждан по территориальному признаку показал, что наибольшее количество обращений поступило из Забайкальского края. По одному обращению поступило из  Республики Татарстан, </w:t>
      </w:r>
      <w:r w:rsidR="00080078">
        <w:t xml:space="preserve">Республики Чувашия, </w:t>
      </w:r>
      <w:r>
        <w:t xml:space="preserve">Кемеровской и </w:t>
      </w:r>
      <w:r w:rsidR="00080078">
        <w:t xml:space="preserve">Самарской  </w:t>
      </w:r>
      <w:r>
        <w:t xml:space="preserve">областей. </w:t>
      </w:r>
    </w:p>
    <w:p w:rsidR="00954C78" w:rsidRDefault="00954C78" w:rsidP="00954C78">
      <w:r>
        <w:t>В</w:t>
      </w:r>
      <w:r>
        <w:t>о</w:t>
      </w:r>
      <w:r>
        <w:t xml:space="preserve"> </w:t>
      </w:r>
      <w:r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2019 года рассмотрено 1</w:t>
      </w:r>
      <w:r>
        <w:t>6</w:t>
      </w:r>
      <w:r>
        <w:t xml:space="preserve"> обращений граждан, в том числе </w:t>
      </w:r>
      <w:r>
        <w:t>5</w:t>
      </w:r>
      <w:r>
        <w:t xml:space="preserve"> обращени</w:t>
      </w:r>
      <w:r>
        <w:t>й</w:t>
      </w:r>
      <w:r>
        <w:t>, поступивши</w:t>
      </w:r>
      <w:r w:rsidR="007C2109">
        <w:t>х</w:t>
      </w:r>
      <w:r>
        <w:t xml:space="preserve"> в </w:t>
      </w:r>
      <w:r>
        <w:rPr>
          <w:lang w:val="en-US"/>
        </w:rPr>
        <w:t>I</w:t>
      </w:r>
      <w:r>
        <w:t xml:space="preserve"> квартале 201</w:t>
      </w:r>
      <w:r>
        <w:t>9</w:t>
      </w:r>
      <w:r>
        <w:t xml:space="preserve"> года, что на 1</w:t>
      </w:r>
      <w:r>
        <w:t>2</w:t>
      </w:r>
      <w:r>
        <w:t>,</w:t>
      </w:r>
      <w:r>
        <w:t>5</w:t>
      </w:r>
      <w:r>
        <w:t xml:space="preserve">% </w:t>
      </w:r>
      <w:r>
        <w:t>меньше</w:t>
      </w:r>
      <w:r>
        <w:t xml:space="preserve">, чем в </w:t>
      </w:r>
      <w:r>
        <w:rPr>
          <w:lang w:val="en-US"/>
        </w:rPr>
        <w:t>I</w:t>
      </w:r>
      <w:r>
        <w:t xml:space="preserve"> квартале 20</w:t>
      </w:r>
      <w:r w:rsidRPr="00DE117E">
        <w:t>1</w:t>
      </w:r>
      <w:r>
        <w:t>9</w:t>
      </w:r>
      <w:r>
        <w:t xml:space="preserve"> года. </w:t>
      </w:r>
    </w:p>
    <w:p w:rsidR="003C2A9F" w:rsidRDefault="003C2A9F" w:rsidP="009C4726">
      <w:r>
        <w:t xml:space="preserve">При этом </w:t>
      </w:r>
      <w:r w:rsidR="005D14ED">
        <w:t xml:space="preserve">3 </w:t>
      </w:r>
      <w:r>
        <w:t>обращени</w:t>
      </w:r>
      <w:r w:rsidR="005D14ED">
        <w:t>я</w:t>
      </w:r>
      <w:r>
        <w:t xml:space="preserve"> граждан находятся на рассмотрении на 1 </w:t>
      </w:r>
      <w:r w:rsidR="005D14ED">
        <w:t>июля</w:t>
      </w:r>
      <w:r>
        <w:t>,</w:t>
      </w:r>
      <w:r w:rsidR="005D14ED">
        <w:t xml:space="preserve"> </w:t>
      </w:r>
      <w:r>
        <w:t xml:space="preserve"> поступивших в</w:t>
      </w:r>
      <w:r w:rsidR="005D14ED">
        <w:t xml:space="preserve">о </w:t>
      </w:r>
      <w:r w:rsidR="005D14ED">
        <w:rPr>
          <w:lang w:val="en-US"/>
        </w:rPr>
        <w:t>II</w:t>
      </w:r>
      <w:r w:rsidR="005D14ED" w:rsidRPr="005D14ED">
        <w:t xml:space="preserve"> </w:t>
      </w:r>
      <w:r>
        <w:t>квартале 20</w:t>
      </w:r>
      <w:r w:rsidR="005D14ED" w:rsidRPr="005D14ED">
        <w:t>19</w:t>
      </w:r>
      <w:r>
        <w:t xml:space="preserve"> года</w:t>
      </w:r>
      <w:r w:rsidR="005D14ED">
        <w:t>.</w:t>
      </w:r>
      <w:r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AE5403">
        <w:t xml:space="preserve">о </w:t>
      </w:r>
      <w:r w:rsidR="00AE5403">
        <w:rPr>
          <w:lang w:val="en-US"/>
        </w:rPr>
        <w:t>II</w:t>
      </w:r>
      <w:r w:rsidR="00AE5403" w:rsidRPr="00AE5403">
        <w:t xml:space="preserve"> </w:t>
      </w:r>
      <w:r>
        <w:t>квартале 20</w:t>
      </w:r>
      <w:r w:rsidR="00AE5403">
        <w:t xml:space="preserve">19 </w:t>
      </w:r>
      <w:r>
        <w:t xml:space="preserve">года дано </w:t>
      </w:r>
      <w:r w:rsidR="00AE5403">
        <w:t>16</w:t>
      </w:r>
      <w:r>
        <w:t xml:space="preserve"> ответов, что на </w:t>
      </w:r>
      <w:r w:rsidR="00AE5403">
        <w:t xml:space="preserve">12,5 </w:t>
      </w:r>
      <w:r>
        <w:t xml:space="preserve">% меньше, чем в </w:t>
      </w:r>
      <w:r w:rsidR="00AE5403">
        <w:rPr>
          <w:lang w:val="en-US"/>
        </w:rPr>
        <w:t>I</w:t>
      </w:r>
      <w:r w:rsidR="00AE5403" w:rsidRPr="00AE5403">
        <w:t xml:space="preserve"> </w:t>
      </w:r>
      <w:r>
        <w:t>квартале 20</w:t>
      </w:r>
      <w:r w:rsidR="00AE5403" w:rsidRPr="00AE5403">
        <w:t>19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AE5403" w:rsidRPr="00AE5403">
        <w:t>15</w:t>
      </w:r>
      <w:r>
        <w:t xml:space="preserve"> (</w:t>
      </w:r>
      <w:r w:rsidR="00AE5403" w:rsidRPr="00AE5403">
        <w:t>93</w:t>
      </w:r>
      <w:r w:rsidR="00AE5403">
        <w:t>,</w:t>
      </w:r>
      <w:r w:rsidR="00AE5403" w:rsidRPr="00AE5403">
        <w:t>8</w:t>
      </w:r>
      <w:r>
        <w:t>%);</w:t>
      </w:r>
    </w:p>
    <w:p w:rsidR="00763E75" w:rsidRDefault="008C45AB" w:rsidP="009C4726">
      <w:r>
        <w:t>в форме электронного документа</w:t>
      </w:r>
      <w:r w:rsidR="00E84F8E">
        <w:t xml:space="preserve"> </w:t>
      </w:r>
      <w:r>
        <w:t xml:space="preserve">- </w:t>
      </w:r>
      <w:r w:rsidR="00AE5403">
        <w:t>1</w:t>
      </w:r>
      <w:r>
        <w:t xml:space="preserve"> (</w:t>
      </w:r>
      <w:r w:rsidR="00AE5403">
        <w:t>6,2</w:t>
      </w:r>
      <w:r>
        <w:t>%)</w:t>
      </w:r>
      <w:r w:rsidR="00AE5403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</w:t>
      </w:r>
      <w:r w:rsidR="00AE5403">
        <w:t>–</w:t>
      </w:r>
      <w:r>
        <w:t xml:space="preserve"> </w:t>
      </w:r>
      <w:r w:rsidR="00AE5403">
        <w:t xml:space="preserve">16 </w:t>
      </w:r>
      <w:r>
        <w:t>(</w:t>
      </w:r>
      <w:r w:rsidR="00AE5403">
        <w:t>100</w:t>
      </w:r>
      <w:r>
        <w:t>%)</w:t>
      </w:r>
      <w:r w:rsidR="00AE5403">
        <w:t>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</w:t>
      </w:r>
      <w:r w:rsidR="00AE5403">
        <w:t>–</w:t>
      </w:r>
      <w:r>
        <w:t xml:space="preserve"> </w:t>
      </w:r>
      <w:r w:rsidR="00AE5403">
        <w:t xml:space="preserve">16 </w:t>
      </w:r>
      <w:r>
        <w:t>(</w:t>
      </w:r>
      <w:r w:rsidR="00AE5403">
        <w:t>100</w:t>
      </w:r>
      <w:r>
        <w:t>%)</w:t>
      </w:r>
      <w:r w:rsidR="00AE5403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AE5403">
        <w:t>16</w:t>
      </w:r>
      <w:r>
        <w:t xml:space="preserve"> (</w:t>
      </w:r>
      <w:r w:rsidR="00AE5403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территориального органа Росстата </w:t>
      </w:r>
      <w:r w:rsidR="00D65F7A">
        <w:t>–</w:t>
      </w:r>
      <w:r>
        <w:t xml:space="preserve"> </w:t>
      </w:r>
      <w:r w:rsidR="00D65F7A">
        <w:t xml:space="preserve">14 </w:t>
      </w:r>
      <w:r>
        <w:t>(</w:t>
      </w:r>
      <w:r w:rsidR="00D65F7A">
        <w:t>87,5</w:t>
      </w:r>
      <w:r>
        <w:t>%);</w:t>
      </w:r>
    </w:p>
    <w:p w:rsidR="00AE7D2B" w:rsidRDefault="00AE7D2B" w:rsidP="00AE7D2B">
      <w:r>
        <w:lastRenderedPageBreak/>
        <w:t xml:space="preserve">за подписью заместителя руководителя территориального органа </w:t>
      </w:r>
      <w:r w:rsidR="00E84F8E">
        <w:br/>
      </w:r>
      <w:r>
        <w:t xml:space="preserve">Росстата </w:t>
      </w:r>
      <w:r w:rsidR="00D65F7A">
        <w:t>–</w:t>
      </w:r>
      <w:r>
        <w:t xml:space="preserve"> </w:t>
      </w:r>
      <w:r w:rsidR="00D65F7A">
        <w:t xml:space="preserve">2 </w:t>
      </w:r>
      <w:r>
        <w:t>(</w:t>
      </w:r>
      <w:r w:rsidR="00D65F7A">
        <w:t>12,5</w:t>
      </w:r>
      <w:r>
        <w:t>%).</w:t>
      </w:r>
    </w:p>
    <w:p w:rsidR="00C067A2" w:rsidRDefault="00C067A2" w:rsidP="00C067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293052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квартале 20</w:t>
      </w:r>
      <w:r w:rsidRPr="00293052">
        <w:rPr>
          <w:sz w:val="28"/>
          <w:szCs w:val="28"/>
        </w:rPr>
        <w:t>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C067A2" w:rsidRDefault="00C067A2" w:rsidP="00C067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 w:rsidR="00056367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0563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E3703">
        <w:rPr>
          <w:sz w:val="28"/>
          <w:szCs w:val="28"/>
        </w:rPr>
        <w:t xml:space="preserve"> квартале 20</w:t>
      </w:r>
      <w:r w:rsidRPr="00293052">
        <w:rPr>
          <w:sz w:val="28"/>
          <w:szCs w:val="28"/>
        </w:rPr>
        <w:t>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9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850"/>
        <w:gridCol w:w="851"/>
        <w:gridCol w:w="850"/>
      </w:tblGrid>
      <w:tr w:rsidR="00DD7525" w:rsidRPr="00103349" w:rsidTr="008A0CB6">
        <w:trPr>
          <w:cantSplit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D7525" w:rsidRPr="009947EC" w:rsidRDefault="00DD7525" w:rsidP="008A0C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D7525" w:rsidRPr="009947EC" w:rsidRDefault="00DD7525" w:rsidP="008A0CB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D7525" w:rsidRDefault="00DD7525" w:rsidP="008A0CB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D7525" w:rsidRPr="00103349" w:rsidTr="008A0CB6">
        <w:trPr>
          <w:cantSplit/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DD7525" w:rsidRPr="009947EC" w:rsidRDefault="00DD7525" w:rsidP="008A0C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D7525" w:rsidRPr="009947EC" w:rsidRDefault="00DD7525" w:rsidP="008A0CB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525" w:rsidRPr="00DC54F3" w:rsidRDefault="00DD7525" w:rsidP="008A0CB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D7525" w:rsidRPr="00DC54F3" w:rsidRDefault="00DD7525" w:rsidP="008A0CB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D7525" w:rsidRPr="00DC54F3" w:rsidRDefault="00DD7525" w:rsidP="008A0CB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D7525" w:rsidRPr="00103349" w:rsidTr="008A0CB6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DD7525" w:rsidRPr="009947EC" w:rsidRDefault="00DD7525" w:rsidP="008A0C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D7525" w:rsidRPr="009947EC" w:rsidRDefault="00DD7525" w:rsidP="008A0CB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525" w:rsidRPr="00DC54F3" w:rsidRDefault="00DD7525" w:rsidP="008A0CB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525" w:rsidRPr="00DC54F3" w:rsidRDefault="00DD7525" w:rsidP="008A0CB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525" w:rsidRPr="00DC54F3" w:rsidRDefault="00DD7525" w:rsidP="008A0CB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DD7525" w:rsidRPr="00103349" w:rsidTr="008A0CB6">
        <w:trPr>
          <w:cantSplit/>
        </w:trPr>
        <w:tc>
          <w:tcPr>
            <w:tcW w:w="2410" w:type="dxa"/>
            <w:shd w:val="clear" w:color="auto" w:fill="auto"/>
            <w:noWrap/>
          </w:tcPr>
          <w:p w:rsidR="00DD7525" w:rsidRPr="00350F31" w:rsidRDefault="00DD7525" w:rsidP="008A0CB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D054C">
              <w:rPr>
                <w:b/>
                <w:color w:val="800000"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</w:tcPr>
          <w:p w:rsidR="00DD7525" w:rsidRPr="009B01DE" w:rsidRDefault="00DD7525" w:rsidP="008A0CB6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vAlign w:val="center"/>
          </w:tcPr>
          <w:p w:rsidR="00DD7525" w:rsidRPr="005E494C" w:rsidRDefault="00DD7525" w:rsidP="008A0C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525" w:rsidRPr="005E494C" w:rsidRDefault="00DD7525" w:rsidP="008A0C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525" w:rsidRDefault="00DD7525" w:rsidP="008A0C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D7525" w:rsidRPr="00103349" w:rsidTr="008A0CB6">
        <w:trPr>
          <w:cantSplit/>
        </w:trPr>
        <w:tc>
          <w:tcPr>
            <w:tcW w:w="2410" w:type="dxa"/>
            <w:shd w:val="clear" w:color="auto" w:fill="auto"/>
            <w:noWrap/>
          </w:tcPr>
          <w:p w:rsidR="00DD7525" w:rsidRPr="00350F31" w:rsidRDefault="00DD7525" w:rsidP="008A0CB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</w:tcPr>
          <w:p w:rsidR="00DD7525" w:rsidRPr="005E494C" w:rsidRDefault="00DD7525" w:rsidP="008A0CB6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vAlign w:val="center"/>
          </w:tcPr>
          <w:p w:rsidR="00DD7525" w:rsidRPr="000166A0" w:rsidRDefault="00DD7525" w:rsidP="00EB772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72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D7525" w:rsidRPr="000166A0" w:rsidRDefault="00DD7525" w:rsidP="008A0CB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D7525" w:rsidRDefault="007965CB" w:rsidP="008A0CB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7525" w:rsidRPr="00103349" w:rsidTr="008A0CB6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DD7525" w:rsidRPr="00EE4315" w:rsidRDefault="00DD7525" w:rsidP="008A0CB6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D7525" w:rsidRPr="002E18CA" w:rsidRDefault="00DD7525" w:rsidP="008A0CB6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7525" w:rsidRDefault="00DD7525" w:rsidP="008A0CB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D7525" w:rsidRDefault="00DD7525" w:rsidP="008A0CB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D7525" w:rsidRDefault="00DD7525" w:rsidP="008A0CB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0D" w:rsidRDefault="005B7C0D" w:rsidP="00CD7746">
      <w:r>
        <w:separator/>
      </w:r>
    </w:p>
  </w:endnote>
  <w:endnote w:type="continuationSeparator" w:id="0">
    <w:p w:rsidR="005B7C0D" w:rsidRDefault="005B7C0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0D" w:rsidRDefault="005B7C0D" w:rsidP="00CD7746">
      <w:r>
        <w:separator/>
      </w:r>
    </w:p>
  </w:footnote>
  <w:footnote w:type="continuationSeparator" w:id="0">
    <w:p w:rsidR="005B7C0D" w:rsidRDefault="005B7C0D" w:rsidP="00CD7746">
      <w:r>
        <w:continuationSeparator/>
      </w:r>
    </w:p>
  </w:footnote>
  <w:footnote w:id="1">
    <w:p w:rsidR="00033638" w:rsidRDefault="00033638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DD7525" w:rsidRDefault="00DD7525" w:rsidP="00DD7525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033638" w:rsidRDefault="000336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91">
          <w:rPr>
            <w:noProof/>
          </w:rPr>
          <w:t>2</w:t>
        </w:r>
        <w:r>
          <w:fldChar w:fldCharType="end"/>
        </w:r>
      </w:p>
    </w:sdtContent>
  </w:sdt>
  <w:p w:rsidR="00033638" w:rsidRDefault="000336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367"/>
    <w:rsid w:val="0006348E"/>
    <w:rsid w:val="00080078"/>
    <w:rsid w:val="0009525C"/>
    <w:rsid w:val="000D42CA"/>
    <w:rsid w:val="00131A0A"/>
    <w:rsid w:val="00136630"/>
    <w:rsid w:val="001428B4"/>
    <w:rsid w:val="001445DE"/>
    <w:rsid w:val="001A33CB"/>
    <w:rsid w:val="001C2FD0"/>
    <w:rsid w:val="00261BB3"/>
    <w:rsid w:val="00280953"/>
    <w:rsid w:val="002E18CA"/>
    <w:rsid w:val="002F4BEE"/>
    <w:rsid w:val="003207F3"/>
    <w:rsid w:val="00365C1B"/>
    <w:rsid w:val="00375C94"/>
    <w:rsid w:val="003C2A9F"/>
    <w:rsid w:val="004544A9"/>
    <w:rsid w:val="00494967"/>
    <w:rsid w:val="00497830"/>
    <w:rsid w:val="004B580D"/>
    <w:rsid w:val="004C1ABA"/>
    <w:rsid w:val="00547970"/>
    <w:rsid w:val="00567D2A"/>
    <w:rsid w:val="00573423"/>
    <w:rsid w:val="00593E20"/>
    <w:rsid w:val="005A34B7"/>
    <w:rsid w:val="005B7C0D"/>
    <w:rsid w:val="005C229A"/>
    <w:rsid w:val="005D14ED"/>
    <w:rsid w:val="005D5D40"/>
    <w:rsid w:val="00605B00"/>
    <w:rsid w:val="00605FC6"/>
    <w:rsid w:val="00656169"/>
    <w:rsid w:val="00660D7C"/>
    <w:rsid w:val="006801F8"/>
    <w:rsid w:val="006B588A"/>
    <w:rsid w:val="00737A91"/>
    <w:rsid w:val="00753ABE"/>
    <w:rsid w:val="00763E75"/>
    <w:rsid w:val="00784100"/>
    <w:rsid w:val="007965CB"/>
    <w:rsid w:val="007A7F19"/>
    <w:rsid w:val="007C2109"/>
    <w:rsid w:val="008A34D3"/>
    <w:rsid w:val="008C45AB"/>
    <w:rsid w:val="008C695F"/>
    <w:rsid w:val="008D2B20"/>
    <w:rsid w:val="00954C78"/>
    <w:rsid w:val="009661E0"/>
    <w:rsid w:val="009947EC"/>
    <w:rsid w:val="009A1C7F"/>
    <w:rsid w:val="009C4726"/>
    <w:rsid w:val="00A07ADB"/>
    <w:rsid w:val="00AA4871"/>
    <w:rsid w:val="00AD47E1"/>
    <w:rsid w:val="00AE14DF"/>
    <w:rsid w:val="00AE5403"/>
    <w:rsid w:val="00AE7D2B"/>
    <w:rsid w:val="00B96377"/>
    <w:rsid w:val="00BB1217"/>
    <w:rsid w:val="00BC24CF"/>
    <w:rsid w:val="00BC419B"/>
    <w:rsid w:val="00BD0D2C"/>
    <w:rsid w:val="00BD19AB"/>
    <w:rsid w:val="00BD7767"/>
    <w:rsid w:val="00BF2461"/>
    <w:rsid w:val="00BF73AE"/>
    <w:rsid w:val="00C067A2"/>
    <w:rsid w:val="00C11F8E"/>
    <w:rsid w:val="00C26A25"/>
    <w:rsid w:val="00C40318"/>
    <w:rsid w:val="00C62365"/>
    <w:rsid w:val="00C64854"/>
    <w:rsid w:val="00C72F46"/>
    <w:rsid w:val="00CD3BA0"/>
    <w:rsid w:val="00CD7746"/>
    <w:rsid w:val="00D44DA5"/>
    <w:rsid w:val="00D65F7A"/>
    <w:rsid w:val="00DA6275"/>
    <w:rsid w:val="00DC3460"/>
    <w:rsid w:val="00DC54F3"/>
    <w:rsid w:val="00DD7525"/>
    <w:rsid w:val="00DE39D7"/>
    <w:rsid w:val="00E65F35"/>
    <w:rsid w:val="00E84F8E"/>
    <w:rsid w:val="00EB7727"/>
    <w:rsid w:val="00EC75EA"/>
    <w:rsid w:val="00EE3703"/>
    <w:rsid w:val="00EE58B6"/>
    <w:rsid w:val="00F069B3"/>
    <w:rsid w:val="00FA166A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5B1B-2750-4CC8-91B4-DAA9B9C8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34</cp:revision>
  <cp:lastPrinted>2019-07-05T06:07:00Z</cp:lastPrinted>
  <dcterms:created xsi:type="dcterms:W3CDTF">2014-03-25T13:45:00Z</dcterms:created>
  <dcterms:modified xsi:type="dcterms:W3CDTF">2019-07-05T06:14:00Z</dcterms:modified>
</cp:coreProperties>
</file>